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833AA" w14:textId="68F5C477" w:rsidR="005D3434" w:rsidRPr="000562AC" w:rsidRDefault="005D3434" w:rsidP="005D3434">
      <w:pPr>
        <w:pStyle w:val="a3"/>
        <w:keepNext/>
        <w:rPr>
          <w:rFonts w:ascii="Times New Roman" w:hAnsi="Times New Roman" w:cs="Times New Roman"/>
        </w:rPr>
      </w:pPr>
      <w:r w:rsidRPr="000562AC">
        <w:rPr>
          <w:rFonts w:ascii="Times New Roman" w:hAnsi="Times New Roman" w:cs="Times New Roman"/>
        </w:rPr>
        <w:t>Table S</w:t>
      </w:r>
      <w:r w:rsidRPr="000562AC">
        <w:rPr>
          <w:rFonts w:ascii="Times New Roman" w:hAnsi="Times New Roman" w:cs="Times New Roman"/>
        </w:rPr>
        <w:fldChar w:fldCharType="begin"/>
      </w:r>
      <w:r w:rsidRPr="000562AC">
        <w:rPr>
          <w:rFonts w:ascii="Times New Roman" w:hAnsi="Times New Roman" w:cs="Times New Roman"/>
        </w:rPr>
        <w:instrText xml:space="preserve"> SEQ Table_S \* ARABIC </w:instrText>
      </w:r>
      <w:r w:rsidRPr="000562AC">
        <w:rPr>
          <w:rFonts w:ascii="Times New Roman" w:hAnsi="Times New Roman" w:cs="Times New Roman"/>
        </w:rPr>
        <w:fldChar w:fldCharType="separate"/>
      </w:r>
      <w:r w:rsidRPr="000562AC">
        <w:rPr>
          <w:rFonts w:ascii="Times New Roman" w:hAnsi="Times New Roman" w:cs="Times New Roman"/>
          <w:noProof/>
        </w:rPr>
        <w:t>1</w:t>
      </w:r>
      <w:r w:rsidRPr="000562AC">
        <w:rPr>
          <w:rFonts w:ascii="Times New Roman" w:hAnsi="Times New Roman" w:cs="Times New Roman"/>
        </w:rPr>
        <w:fldChar w:fldCharType="end"/>
      </w:r>
      <w:r w:rsidRPr="000562AC">
        <w:rPr>
          <w:rFonts w:ascii="Times New Roman" w:eastAsia="宋体" w:hAnsi="Times New Roman" w:cs="Times New Roman"/>
        </w:rPr>
        <w:t xml:space="preserve"> Data Collection Station Equipment Parameters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2001"/>
        <w:gridCol w:w="3632"/>
      </w:tblGrid>
      <w:tr w:rsidR="002955C0" w:rsidRPr="000562AC" w14:paraId="7D847166" w14:textId="77777777" w:rsidTr="00935EEE">
        <w:tc>
          <w:tcPr>
            <w:tcW w:w="2193" w:type="pct"/>
            <w:tcBorders>
              <w:top w:val="single" w:sz="8" w:space="0" w:color="auto"/>
              <w:bottom w:val="single" w:sz="4" w:space="0" w:color="auto"/>
            </w:tcBorders>
          </w:tcPr>
          <w:p w14:paraId="0BB9B29B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Device Name</w:t>
            </w:r>
          </w:p>
        </w:tc>
        <w:tc>
          <w:tcPr>
            <w:tcW w:w="997" w:type="pct"/>
            <w:tcBorders>
              <w:top w:val="single" w:sz="8" w:space="0" w:color="auto"/>
              <w:bottom w:val="single" w:sz="4" w:space="0" w:color="auto"/>
            </w:tcBorders>
          </w:tcPr>
          <w:p w14:paraId="6E0591DD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Range</w:t>
            </w:r>
          </w:p>
        </w:tc>
        <w:tc>
          <w:tcPr>
            <w:tcW w:w="1810" w:type="pct"/>
            <w:tcBorders>
              <w:top w:val="single" w:sz="8" w:space="0" w:color="auto"/>
              <w:bottom w:val="single" w:sz="4" w:space="0" w:color="auto"/>
            </w:tcBorders>
          </w:tcPr>
          <w:p w14:paraId="66B9B5E8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</w:rPr>
              <w:t>Measurement Accuracy</w:t>
            </w:r>
          </w:p>
        </w:tc>
      </w:tr>
      <w:tr w:rsidR="002955C0" w:rsidRPr="000562AC" w14:paraId="64E589D2" w14:textId="77777777" w:rsidTr="00935EEE">
        <w:tc>
          <w:tcPr>
            <w:tcW w:w="2193" w:type="pct"/>
            <w:vMerge w:val="restart"/>
            <w:tcBorders>
              <w:top w:val="single" w:sz="4" w:space="0" w:color="auto"/>
            </w:tcBorders>
            <w:vAlign w:val="center"/>
          </w:tcPr>
          <w:p w14:paraId="5CFF5A60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PV Module Temperature Probe</w:t>
            </w:r>
          </w:p>
        </w:tc>
        <w:tc>
          <w:tcPr>
            <w:tcW w:w="997" w:type="pct"/>
            <w:vMerge w:val="restart"/>
            <w:tcBorders>
              <w:top w:val="single" w:sz="4" w:space="0" w:color="auto"/>
            </w:tcBorders>
            <w:vAlign w:val="center"/>
          </w:tcPr>
          <w:p w14:paraId="4B3B0CAF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-40-135℃</w:t>
            </w:r>
          </w:p>
        </w:tc>
        <w:tc>
          <w:tcPr>
            <w:tcW w:w="1810" w:type="pct"/>
            <w:tcBorders>
              <w:top w:val="single" w:sz="4" w:space="0" w:color="auto"/>
            </w:tcBorders>
          </w:tcPr>
          <w:p w14:paraId="3362806C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±0.2℃ (-40-70℃)</w:t>
            </w:r>
          </w:p>
        </w:tc>
      </w:tr>
      <w:tr w:rsidR="002955C0" w:rsidRPr="000562AC" w14:paraId="1008460D" w14:textId="77777777" w:rsidTr="00935EEE">
        <w:tc>
          <w:tcPr>
            <w:tcW w:w="2193" w:type="pct"/>
            <w:vMerge/>
          </w:tcPr>
          <w:p w14:paraId="54E52E48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997" w:type="pct"/>
            <w:vMerge/>
          </w:tcPr>
          <w:p w14:paraId="772D56B2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810" w:type="pct"/>
          </w:tcPr>
          <w:p w14:paraId="2163E300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±0.5℃ (71-105℃)</w:t>
            </w:r>
          </w:p>
        </w:tc>
      </w:tr>
      <w:tr w:rsidR="002955C0" w:rsidRPr="000562AC" w14:paraId="038BAA18" w14:textId="77777777" w:rsidTr="00935EEE">
        <w:tc>
          <w:tcPr>
            <w:tcW w:w="2193" w:type="pct"/>
            <w:vMerge/>
          </w:tcPr>
          <w:p w14:paraId="28742C67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997" w:type="pct"/>
            <w:vMerge/>
          </w:tcPr>
          <w:p w14:paraId="0BD8306E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810" w:type="pct"/>
          </w:tcPr>
          <w:p w14:paraId="7FC6AA99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±1℃ (72-135℃)</w:t>
            </w:r>
          </w:p>
        </w:tc>
      </w:tr>
      <w:tr w:rsidR="002955C0" w:rsidRPr="000562AC" w14:paraId="7A4510F4" w14:textId="77777777" w:rsidTr="00935EEE">
        <w:tc>
          <w:tcPr>
            <w:tcW w:w="2193" w:type="pct"/>
          </w:tcPr>
          <w:p w14:paraId="20090D99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Ambient Temperature Probe</w:t>
            </w:r>
          </w:p>
        </w:tc>
        <w:tc>
          <w:tcPr>
            <w:tcW w:w="997" w:type="pct"/>
          </w:tcPr>
          <w:p w14:paraId="165B66E0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-80-60℃</w:t>
            </w:r>
          </w:p>
        </w:tc>
        <w:tc>
          <w:tcPr>
            <w:tcW w:w="1810" w:type="pct"/>
          </w:tcPr>
          <w:p w14:paraId="4B864D02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0.266℃</w:t>
            </w:r>
          </w:p>
        </w:tc>
      </w:tr>
      <w:tr w:rsidR="002955C0" w:rsidRPr="000562AC" w14:paraId="76D8C803" w14:textId="77777777" w:rsidTr="00935EEE">
        <w:tc>
          <w:tcPr>
            <w:tcW w:w="2193" w:type="pct"/>
          </w:tcPr>
          <w:p w14:paraId="46A84891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Irradiance Sensor</w:t>
            </w:r>
          </w:p>
        </w:tc>
        <w:tc>
          <w:tcPr>
            <w:tcW w:w="997" w:type="pct"/>
          </w:tcPr>
          <w:p w14:paraId="40F4BA1E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400-1000nm</w:t>
            </w:r>
          </w:p>
        </w:tc>
        <w:tc>
          <w:tcPr>
            <w:tcW w:w="1810" w:type="pct"/>
          </w:tcPr>
          <w:p w14:paraId="0794E9C4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0.2kW</w: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-2</w: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mV</w:t>
            </w:r>
            <w:r w:rsidRPr="000562AC">
              <w:rPr>
                <w:rFonts w:ascii="Times New Roman" w:eastAsia="宋体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  <w:tr w:rsidR="002955C0" w:rsidRPr="000562AC" w14:paraId="1AE38C24" w14:textId="77777777" w:rsidTr="00935EEE">
        <w:tc>
          <w:tcPr>
            <w:tcW w:w="2193" w:type="pct"/>
            <w:vMerge w:val="restart"/>
            <w:vAlign w:val="center"/>
          </w:tcPr>
          <w:p w14:paraId="757E03B0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Anemometer</w:t>
            </w:r>
          </w:p>
        </w:tc>
        <w:tc>
          <w:tcPr>
            <w:tcW w:w="997" w:type="pct"/>
          </w:tcPr>
          <w:p w14:paraId="7E6066A7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0-65m/s</w:t>
            </w:r>
          </w:p>
        </w:tc>
        <w:tc>
          <w:tcPr>
            <w:tcW w:w="1810" w:type="pct"/>
          </w:tcPr>
          <w:p w14:paraId="534F0E47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0.01 or 0.001m/s</w:t>
            </w:r>
          </w:p>
        </w:tc>
      </w:tr>
      <w:tr w:rsidR="002955C0" w:rsidRPr="000562AC" w14:paraId="02F1E30F" w14:textId="77777777" w:rsidTr="00935EEE">
        <w:tc>
          <w:tcPr>
            <w:tcW w:w="2193" w:type="pct"/>
            <w:vMerge/>
          </w:tcPr>
          <w:p w14:paraId="26840C75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997" w:type="pct"/>
          </w:tcPr>
          <w:p w14:paraId="32DEB401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0-359.9°</w:t>
            </w:r>
          </w:p>
        </w:tc>
        <w:tc>
          <w:tcPr>
            <w:tcW w:w="1810" w:type="pct"/>
          </w:tcPr>
          <w:p w14:paraId="24AC597D" w14:textId="77777777" w:rsidR="002955C0" w:rsidRPr="000562AC" w:rsidRDefault="002955C0" w:rsidP="00935EEE">
            <w:pPr>
              <w:keepNext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0562AC">
              <w:rPr>
                <w:rFonts w:ascii="Times New Roman" w:eastAsia="宋体" w:hAnsi="Times New Roman" w:cs="Times New Roman"/>
                <w:sz w:val="20"/>
                <w:szCs w:val="20"/>
              </w:rPr>
              <w:t>1 or 0.1°</w:t>
            </w:r>
          </w:p>
        </w:tc>
      </w:tr>
    </w:tbl>
    <w:p w14:paraId="4C8732A0" w14:textId="6699039D" w:rsidR="002955C0" w:rsidRPr="000562AC" w:rsidRDefault="00EC49DB">
      <w:pPr>
        <w:rPr>
          <w:rFonts w:ascii="Times New Roman" w:hAnsi="Times New Roman" w:cs="Times New Roman"/>
          <w:sz w:val="20"/>
          <w:szCs w:val="20"/>
        </w:rPr>
      </w:pPr>
      <w:r w:rsidRPr="000562AC">
        <w:rPr>
          <w:rFonts w:ascii="Times New Roman" w:eastAsia="等线" w:hAnsi="Times New Roman" w:cs="Times New Roman"/>
          <w:noProof/>
          <w:szCs w:val="20"/>
        </w:rPr>
        <w:fldChar w:fldCharType="begin"/>
      </w:r>
      <w:r w:rsidRPr="000562AC">
        <w:rPr>
          <w:rFonts w:ascii="Times New Roman" w:hAnsi="Times New Roman" w:cs="Times New Roman"/>
          <w:szCs w:val="20"/>
        </w:rPr>
        <w:instrText xml:space="preserve"> ADDIN EN.REFLIST </w:instrText>
      </w:r>
      <w:r w:rsidRPr="000562AC">
        <w:rPr>
          <w:rFonts w:ascii="Times New Roman" w:eastAsia="等线" w:hAnsi="Times New Roman" w:cs="Times New Roman"/>
          <w:noProof/>
          <w:szCs w:val="20"/>
        </w:rPr>
        <w:fldChar w:fldCharType="separate"/>
      </w:r>
      <w:r w:rsidRPr="000562AC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2955C0" w:rsidRPr="000562AC" w:rsidSect="002955C0">
      <w:pgSz w:w="11906" w:h="16838"/>
      <w:pgMar w:top="567" w:right="936" w:bottom="1338" w:left="93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29236" w14:textId="77777777" w:rsidR="00935140" w:rsidRDefault="00935140" w:rsidP="002955C0">
      <w:pPr>
        <w:rPr>
          <w:rFonts w:hint="eastAsia"/>
        </w:rPr>
      </w:pPr>
      <w:r>
        <w:separator/>
      </w:r>
    </w:p>
  </w:endnote>
  <w:endnote w:type="continuationSeparator" w:id="0">
    <w:p w14:paraId="5CEE3E75" w14:textId="77777777" w:rsidR="00935140" w:rsidRDefault="00935140" w:rsidP="002955C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CE4EB" w14:textId="77777777" w:rsidR="00935140" w:rsidRDefault="00935140" w:rsidP="002955C0">
      <w:pPr>
        <w:rPr>
          <w:rFonts w:hint="eastAsia"/>
        </w:rPr>
      </w:pPr>
      <w:r>
        <w:separator/>
      </w:r>
    </w:p>
  </w:footnote>
  <w:footnote w:type="continuationSeparator" w:id="0">
    <w:p w14:paraId="17533C7E" w14:textId="77777777" w:rsidR="00935140" w:rsidRDefault="00935140" w:rsidP="002955C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Geosci Model Dev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f5zzat5bxpawfe25dcxx5z40txpw20ew9az&quot;&gt;PV_forecast&lt;record-ids&gt;&lt;item&gt;35&lt;/item&gt;&lt;item&gt;36&lt;/item&gt;&lt;item&gt;37&lt;/item&gt;&lt;item&gt;38&lt;/item&gt;&lt;item&gt;39&lt;/item&gt;&lt;item&gt;40&lt;/item&gt;&lt;/record-ids&gt;&lt;/item&gt;&lt;/Libraries&gt;"/>
  </w:docVars>
  <w:rsids>
    <w:rsidRoot w:val="00334E24"/>
    <w:rsid w:val="000023C7"/>
    <w:rsid w:val="00026628"/>
    <w:rsid w:val="000562AC"/>
    <w:rsid w:val="001600B2"/>
    <w:rsid w:val="00177A8C"/>
    <w:rsid w:val="001864BE"/>
    <w:rsid w:val="00291D4E"/>
    <w:rsid w:val="00293709"/>
    <w:rsid w:val="002955C0"/>
    <w:rsid w:val="002D22CB"/>
    <w:rsid w:val="00334E24"/>
    <w:rsid w:val="00483A15"/>
    <w:rsid w:val="00587CEC"/>
    <w:rsid w:val="005D3434"/>
    <w:rsid w:val="005D701D"/>
    <w:rsid w:val="006E072F"/>
    <w:rsid w:val="00825177"/>
    <w:rsid w:val="00935140"/>
    <w:rsid w:val="009D70BF"/>
    <w:rsid w:val="00A113FC"/>
    <w:rsid w:val="00B97BDE"/>
    <w:rsid w:val="00D452F2"/>
    <w:rsid w:val="00D61F0B"/>
    <w:rsid w:val="00DD5E52"/>
    <w:rsid w:val="00E17A46"/>
    <w:rsid w:val="00E74807"/>
    <w:rsid w:val="00EC49DB"/>
    <w:rsid w:val="0D03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F3978A"/>
  <w14:defaultImageDpi w14:val="32767"/>
  <w15:docId w15:val="{9A56B65B-7233-4956-8A7B-281F31F5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Subtitle"/>
    <w:basedOn w:val="a"/>
    <w:next w:val="a"/>
    <w:link w:val="a9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Title"/>
    <w:basedOn w:val="a"/>
    <w:next w:val="a"/>
    <w:link w:val="ab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b">
    <w:name w:val="标题 字符"/>
    <w:basedOn w:val="a0"/>
    <w:link w:val="aa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副标题 字符"/>
    <w:basedOn w:val="a0"/>
    <w:link w:val="a8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d">
    <w:name w:val="Quote"/>
    <w:basedOn w:val="a"/>
    <w:next w:val="a"/>
    <w:link w:val="ae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e">
    <w:name w:val="引用 字符"/>
    <w:basedOn w:val="a0"/>
    <w:link w:val="ad"/>
    <w:uiPriority w:val="29"/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1">
    <w:name w:val="明显引用 字符"/>
    <w:basedOn w:val="a0"/>
    <w:link w:val="af0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EC49DB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EC49DB"/>
    <w:rPr>
      <w:rFonts w:ascii="等线" w:eastAsia="等线" w:hAnsi="等线"/>
      <w:noProof/>
      <w:kern w:val="2"/>
      <w:szCs w:val="22"/>
      <w14:ligatures w14:val="standardContextual"/>
    </w:rPr>
  </w:style>
  <w:style w:type="paragraph" w:customStyle="1" w:styleId="EndNoteBibliography">
    <w:name w:val="EndNote Bibliography"/>
    <w:basedOn w:val="a"/>
    <w:link w:val="EndNoteBibliography0"/>
    <w:rsid w:val="00EC49DB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EC49DB"/>
    <w:rPr>
      <w:rFonts w:ascii="等线" w:eastAsia="等线" w:hAnsi="等线"/>
      <w:noProof/>
      <w:kern w:val="2"/>
      <w:szCs w:val="22"/>
      <w14:ligatures w14:val="standardContextual"/>
    </w:rPr>
  </w:style>
  <w:style w:type="character" w:styleId="af2">
    <w:name w:val="Hyperlink"/>
    <w:basedOn w:val="a0"/>
    <w:uiPriority w:val="99"/>
    <w:unhideWhenUsed/>
    <w:rsid w:val="00EC49DB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EC4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飞 张</dc:creator>
  <cp:lastModifiedBy>飞 张</cp:lastModifiedBy>
  <cp:revision>11</cp:revision>
  <dcterms:created xsi:type="dcterms:W3CDTF">2025-07-10T11:11:00Z</dcterms:created>
  <dcterms:modified xsi:type="dcterms:W3CDTF">2025-09-10T06:57:00Z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eyJoZGlkIjoiMjYzZjk1MGVkZmZkZDZmZDk0ZDQ3ZTVmYTMxM2NmYzkiLCJ1c2VySWQiOiI0MjEwMTE1OTYifQ==</vt:lpwstr>
  </property>
  <property fmtid="{D5CDD505-2E9C-101B-9397-08002B2CF9AE}" pid="3" name="KSOProductBuildVer">
    <vt:lpwstr>2052-12.1.0.21915</vt:lpwstr>
  </property>
  <property fmtid="{D5CDD505-2E9C-101B-9397-08002B2CF9AE}" pid="4" name="ICV">
    <vt:lpwstr>47F44DF67AA24997920F764F20A96579_12</vt:lpwstr>
  </property>
</Properties>
</file>